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86"/>
        <w:gridCol w:w="8414"/>
      </w:tblGrid>
      <w:tr w:rsidR="00CF0C0A" w:rsidTr="00EC4872">
        <w:tc>
          <w:tcPr>
            <w:tcW w:w="1186" w:type="dxa"/>
            <w:tcBorders>
              <w:top w:val="single" w:sz="4" w:space="0" w:color="auto"/>
              <w:left w:val="single" w:sz="4" w:space="0" w:color="auto"/>
              <w:bottom w:val="single" w:sz="4" w:space="0" w:color="auto"/>
              <w:right w:val="single" w:sz="4" w:space="0" w:color="auto"/>
            </w:tcBorders>
          </w:tcPr>
          <w:p w:rsidR="00CF0C0A" w:rsidRDefault="00CF0C0A" w:rsidP="00EC4872">
            <w:pPr>
              <w:pStyle w:val="ConsPlusNormal"/>
              <w:jc w:val="center"/>
            </w:pPr>
            <w:r>
              <w:t>Код вычета</w:t>
            </w:r>
          </w:p>
        </w:tc>
        <w:tc>
          <w:tcPr>
            <w:tcW w:w="8414" w:type="dxa"/>
            <w:tcBorders>
              <w:top w:val="single" w:sz="4" w:space="0" w:color="auto"/>
              <w:left w:val="single" w:sz="4" w:space="0" w:color="auto"/>
              <w:bottom w:val="single" w:sz="4" w:space="0" w:color="auto"/>
              <w:right w:val="single" w:sz="4" w:space="0" w:color="auto"/>
            </w:tcBorders>
          </w:tcPr>
          <w:p w:rsidR="00CF0C0A" w:rsidRDefault="00CF0C0A" w:rsidP="00EC4872">
            <w:pPr>
              <w:pStyle w:val="ConsPlusNormal"/>
              <w:jc w:val="center"/>
            </w:pPr>
            <w:r>
              <w:t>Наименование вычета</w:t>
            </w:r>
          </w:p>
        </w:tc>
      </w:tr>
      <w:tr w:rsidR="000B4A7D">
        <w:tc>
          <w:tcPr>
            <w:tcW w:w="9600" w:type="dxa"/>
            <w:gridSpan w:val="2"/>
            <w:tcBorders>
              <w:top w:val="single" w:sz="4" w:space="0" w:color="auto"/>
              <w:left w:val="single" w:sz="4" w:space="0" w:color="auto"/>
              <w:bottom w:val="single" w:sz="4" w:space="0" w:color="auto"/>
              <w:right w:val="single" w:sz="4" w:space="0" w:color="auto"/>
            </w:tcBorders>
          </w:tcPr>
          <w:p w:rsidR="000B4A7D" w:rsidRPr="00CF0C0A" w:rsidRDefault="00CF0C0A" w:rsidP="00CF0C0A">
            <w:pPr>
              <w:pStyle w:val="ConsPlusNormal"/>
              <w:jc w:val="center"/>
              <w:outlineLvl w:val="0"/>
              <w:rPr>
                <w:b/>
              </w:rPr>
            </w:pPr>
            <w:r w:rsidRPr="00CF0C0A">
              <w:rPr>
                <w:b/>
              </w:rPr>
              <w:t>Вычеты по операциям с ценными бумагами и финансовыми инструментами</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201</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Расходы по операциям с ценными бумагами, обращающимися на организованном рынке ценных бумаг</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202</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Расходы по операциям с ценными бумагами, не обращающимися на организованном рынке ценных бумаг</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203</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205</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убытка по операциям с ценными бумагами, обращающимися на организованном рынке ценных бумаг, уменьшающая налоговую базу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206</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207</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208</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после уменьшения налоговой базы по операциям с производными финансовыми инструментами, обращающаяся на организованном рынке, уменьшающая налоговую базу</w:t>
            </w:r>
            <w:proofErr w:type="gramEnd"/>
            <w:r>
              <w:t xml:space="preserve"> по операциям с ценными бумагами, обращающимися на организованном рынке ценных бумаг</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209</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 xml:space="preserve">Сумма убытка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w:t>
            </w:r>
            <w:r>
              <w:lastRenderedPageBreak/>
              <w:t>организованном рынке</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lastRenderedPageBreak/>
              <w:t>210</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убытка по операциям с производными финансовыми инструментами, обращающимися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уменьшающая налоговую базу по операциям с производными финансовыми инструментами, которые обращаются на организованном рынке</w:t>
            </w:r>
            <w:proofErr w:type="gramEnd"/>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211</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Расходы в виде процентов по займу, произведенные по совокупности операций РЕПО</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213</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215</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Расходы в виде процентов, уплаченных в налоговом периоде по совокупности договоров займа</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216</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обращающимися на организованном рынке ценных бумаг, рассчитанная в соответствии с пропорцией, с учетом положений абзаца шестого пункта 5 статьи 214</w:t>
            </w:r>
            <w:r>
              <w:rPr>
                <w:color w:val="0000FF"/>
                <w:vertAlign w:val="superscript"/>
              </w:rPr>
              <w:t>4</w:t>
            </w:r>
            <w:r>
              <w:t xml:space="preserve"> Налогового кодекса Российской Федерации</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217</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proofErr w:type="gramStart"/>
            <w: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roofErr w:type="gramEnd"/>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218</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219</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220</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Сумма расхода по операциям с производными финансовыми инструментами, не обращающимися на организованном рынке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221</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Исключено. - Приказ ФНС России от 22.11.2016 N ММВ-7-11/633@</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222</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 xml:space="preserve">Сумма убытка по операциям РЕПО, принимаемого в уменьшение доходов по операциям с ценными бумагами, обращающимися на организованном рынке ценных бумаг, в пропорции, рассчитанной как отношение стоимости ценных </w:t>
            </w:r>
            <w:r>
              <w:lastRenderedPageBreak/>
              <w:t>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lastRenderedPageBreak/>
              <w:t>223</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r>
              <w:t>Сумма убытка по операциям РЕПО, принимаемого в уменьшение доходов по операциям с ценными бумагами,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
        </w:tc>
      </w:tr>
      <w:tr w:rsidR="000B4A7D">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224</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proofErr w:type="gramStart"/>
            <w:r>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уменьшающего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225</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Расходы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226</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Расходы по операциям с ценными бумагами, не обращающимися на организованном рынке ценных бумаг, учитываемым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227</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Расходы по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учитываемым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228</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Расходы по операциям с производными финансовыми инструментами, которые обращаются на организованном рынке и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229</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Расходы по операциям с производными финансовыми инструментами, которые обращаются на организованном рынке и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учитываемым на индивидуальном инвестиционном счете</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230</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Расходы в виде процентов по займу, произведенные по совокупности операций РЕПО, учитываемых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231</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Расходы по операциям, связанным с закрытием короткой позиции, и затраты, связанные с приобретением и реализацией ценных бумаг, являющимся объектом операций РЕПО, учитываемых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232</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 xml:space="preserve">Расходы в виде процентов, уплаченных в налоговом периоде по совокупности </w:t>
            </w:r>
            <w:r>
              <w:lastRenderedPageBreak/>
              <w:t>договоров займа, учитываемых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lastRenderedPageBreak/>
              <w:t>233</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Процентный (купонный) расход, признаваемый налогоплательщиком в случае открытия короткой позиции по ценным бумагам,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234</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Процентный (купонный) расход, признаваемый налогоплательщиком в случае открытия короткой позиции по ценным бумагам, не обращающимся на организованном рынке ценных бумаг, по которым предусмотрено начисление процентного (купонного) дохода, учитываемый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235</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r>
              <w:t>Суммы расходов по операциям с производными финансовыми инструментами, не обращающимися на организованном рынке, учитываемым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236</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отрицательного финансового результата, полученного в налоговом периоде по операциям с ценными бумагами, обращающимися на организованном рынке ценных бумаг, уменьшающая финансовый результат, полученный в налоговом периоде по отдельным операциям с ценными бумагами, не обращающимися на организованном рынке ценных бумаг, которые на момент их приобретения относились к ценным бумагам, обращающимся на организованном рынке ценных бумаг, учитываемая на индивидуальном инвестиционном счете</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237</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238</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превышения расходов в виде процентов, уплаченных по совокупности договоров займа над доходами, полученными по совокупности договоров займа, уменьшающая налоговую базу по операциям с ценными бумагами, учитываемым на индивидуальном инвестиционном счете, не обращающимися на организованном рынке ценных бумаг, рассчитанная в соответствии с пропорцией, с учетом положений абзаца шестого пункта 5 статьи 214.4 Налогового кодекса Российской Федерации</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239</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обращающихся на организованном рынке ценных бумаг, к общей стоимости ценных бумаг, являющихся объектом операций РЕПО</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lastRenderedPageBreak/>
              <w:t>240</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убытка по операциям РЕПО, учитываемым на индивидуальном инвестиционном счете, принимаемого в уменьшение доходов по операциям с ценными бумагами, учитываемым на индивидуальном инвестиционном счете, не обращающимися на организованном рынке ценных бумаг, в пропорции, рассчитанной как отношение стоимости ценных бумаг, являющихся объектом операций РЕПО, не обращающихся на организованном рынке ценных бумаг, к общей стоимости ценных бумаг, являющихся объектом операций РЕПО</w:t>
            </w:r>
            <w:proofErr w:type="gramEnd"/>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241</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уменьшающего налоговую базу по операциям с производными финансовыми инструментами, которые обращаются</w:t>
            </w:r>
            <w:proofErr w:type="gramEnd"/>
            <w:r>
              <w:t xml:space="preserve"> на организованном рынке ценных бумаг, </w:t>
            </w:r>
            <w:proofErr w:type="gramStart"/>
            <w:r>
              <w:t>учитываемые</w:t>
            </w:r>
            <w:proofErr w:type="gramEnd"/>
            <w:r>
              <w:t xml:space="preserve"> на индивидуальном инвестиционном счете</w:t>
            </w:r>
          </w:p>
        </w:tc>
      </w:tr>
      <w:tr w:rsidR="000B4A7D">
        <w:tc>
          <w:tcPr>
            <w:tcW w:w="1186" w:type="dxa"/>
            <w:tcBorders>
              <w:top w:val="single" w:sz="4" w:space="0" w:color="auto"/>
              <w:left w:val="single" w:sz="4" w:space="0" w:color="auto"/>
              <w:right w:val="single" w:sz="4" w:space="0" w:color="auto"/>
            </w:tcBorders>
          </w:tcPr>
          <w:p w:rsidR="000B4A7D" w:rsidRDefault="00C23850">
            <w:pPr>
              <w:pStyle w:val="ConsPlusNormal"/>
            </w:pPr>
            <w:r>
              <w:t>250</w:t>
            </w:r>
          </w:p>
        </w:tc>
        <w:tc>
          <w:tcPr>
            <w:tcW w:w="8414" w:type="dxa"/>
            <w:tcBorders>
              <w:top w:val="single" w:sz="4" w:space="0" w:color="auto"/>
              <w:left w:val="single" w:sz="4" w:space="0" w:color="auto"/>
              <w:right w:val="single" w:sz="4" w:space="0" w:color="auto"/>
            </w:tcBorders>
          </w:tcPr>
          <w:p w:rsidR="000B4A7D" w:rsidRDefault="00C23850">
            <w:pPr>
              <w:pStyle w:val="ConsPlusNormal"/>
              <w:jc w:val="both"/>
            </w:pPr>
            <w:proofErr w:type="gramStart"/>
            <w:r>
              <w:t>Сумма убытка по операциям с ценными бумагами, обращающимися на организованном рынке ценных бумаг,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w:t>
            </w:r>
            <w:proofErr w:type="gramEnd"/>
            <w:r>
              <w:t xml:space="preserve"> или фондовые индексы, </w:t>
            </w:r>
            <w:proofErr w:type="gramStart"/>
            <w:r>
              <w:t>учитываемым</w:t>
            </w:r>
            <w:proofErr w:type="gramEnd"/>
            <w:r>
              <w:t xml:space="preserve"> на индивидуальном инвестиционном счете</w:t>
            </w:r>
          </w:p>
        </w:tc>
      </w:tr>
      <w:tr w:rsidR="000B4A7D" w:rsidTr="005A7E12">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251</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proofErr w:type="gramStart"/>
            <w:r>
              <w:t>Сумма убытка по операциям с производными финансовыми инструментами, обращающимися на организованном рынке, базисным активом которых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после уменьшения финансового результата по операциям с производными финансовыми инструментами, обращающимися</w:t>
            </w:r>
            <w:proofErr w:type="gramEnd"/>
            <w:r>
              <w:t xml:space="preserve"> на организованном рынке, </w:t>
            </w:r>
            <w:proofErr w:type="gramStart"/>
            <w:r>
              <w:t>уменьшающая</w:t>
            </w:r>
            <w:proofErr w:type="gramEnd"/>
            <w:r>
              <w:t xml:space="preserve"> финансовый результат по операциям с ценными бумагами, обращающимися на организованном рынке ценных бумаг, учитываемым на индивидуальном инвестиционном счете</w:t>
            </w:r>
          </w:p>
        </w:tc>
      </w:tr>
      <w:tr w:rsidR="000B4A7D" w:rsidTr="005A7E12">
        <w:tc>
          <w:tcPr>
            <w:tcW w:w="1186" w:type="dxa"/>
            <w:tcBorders>
              <w:top w:val="single" w:sz="4" w:space="0" w:color="auto"/>
              <w:left w:val="single" w:sz="4" w:space="0" w:color="auto"/>
              <w:bottom w:val="single" w:sz="4" w:space="0" w:color="auto"/>
              <w:right w:val="single" w:sz="4" w:space="0" w:color="auto"/>
            </w:tcBorders>
          </w:tcPr>
          <w:p w:rsidR="000B4A7D" w:rsidRDefault="00C23850">
            <w:pPr>
              <w:pStyle w:val="ConsPlusNormal"/>
            </w:pPr>
            <w:r>
              <w:t>252</w:t>
            </w:r>
          </w:p>
        </w:tc>
        <w:tc>
          <w:tcPr>
            <w:tcW w:w="8414" w:type="dxa"/>
            <w:tcBorders>
              <w:top w:val="single" w:sz="4" w:space="0" w:color="auto"/>
              <w:left w:val="single" w:sz="4" w:space="0" w:color="auto"/>
              <w:bottom w:val="single" w:sz="4" w:space="0" w:color="auto"/>
              <w:right w:val="single" w:sz="4" w:space="0" w:color="auto"/>
            </w:tcBorders>
          </w:tcPr>
          <w:p w:rsidR="000B4A7D" w:rsidRDefault="00C23850">
            <w:pPr>
              <w:pStyle w:val="ConsPlusNormal"/>
              <w:jc w:val="both"/>
            </w:pPr>
            <w:proofErr w:type="gramStart"/>
            <w:r>
              <w:t>Сумма убытка по операциям с производными финансовыми инструментами, обращающимися на организованном рынке, базисным активом которых не являются ценные бумаги, фондовые индексы или иные производные финансовые инструменты, базисным активом которых являются ценные бумаги или фондовые индексы, полученного по результатам указанных операций, совершенных в налоговом периоде и учитываемых на индивидуальном инвестиционном счете, уменьшающая финансовый результат по операциям с производными финансовыми инструментами, обращающимися</w:t>
            </w:r>
            <w:proofErr w:type="gramEnd"/>
            <w:r>
              <w:t xml:space="preserve"> на организованном рынке, </w:t>
            </w:r>
            <w:proofErr w:type="gramStart"/>
            <w:r>
              <w:t>учитываемым</w:t>
            </w:r>
            <w:proofErr w:type="gramEnd"/>
            <w:r>
              <w:t xml:space="preserve"> на индивидуальном инвестиционном </w:t>
            </w:r>
            <w:r>
              <w:lastRenderedPageBreak/>
              <w:t>счете</w:t>
            </w:r>
          </w:p>
        </w:tc>
      </w:tr>
    </w:tbl>
    <w:p w:rsidR="00C23850" w:rsidRDefault="00C23850">
      <w:pPr>
        <w:pStyle w:val="ConsPlusNormal"/>
      </w:pPr>
      <w:bookmarkStart w:id="0" w:name="_GoBack"/>
      <w:bookmarkEnd w:id="0"/>
    </w:p>
    <w:sectPr w:rsidR="00C2385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8F"/>
    <w:rsid w:val="000B4A7D"/>
    <w:rsid w:val="0022798E"/>
    <w:rsid w:val="00302C96"/>
    <w:rsid w:val="005A7E12"/>
    <w:rsid w:val="007D2A8F"/>
    <w:rsid w:val="008D6361"/>
    <w:rsid w:val="00A319E6"/>
    <w:rsid w:val="00C23850"/>
    <w:rsid w:val="00CF0C0A"/>
    <w:rsid w:val="00DC359C"/>
    <w:rsid w:val="00E66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1998</Words>
  <Characters>11395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Приказ ФНС России от 10.09.2015 N ММВ-7-11/387@(ред. от 24.10.2017)"Об утверждении кодов видов доходов и вычетов"(Зарегистрировано в Минюсте России 13.11.2015 N 39705)</vt:lpstr>
    </vt:vector>
  </TitlesOfParts>
  <Company>КонсультантПлюс Версия 4017.00.95</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ФНС России от 10.09.2015 N ММВ-7-11/387@(ред. от 24.10.2017)"Об утверждении кодов видов доходов и вычетов"(Зарегистрировано в Минюсте России 13.11.2015 N 39705)</dc:title>
  <dc:creator>Валера</dc:creator>
  <cp:lastModifiedBy>User</cp:lastModifiedBy>
  <cp:revision>3</cp:revision>
  <dcterms:created xsi:type="dcterms:W3CDTF">2019-02-14T14:43:00Z</dcterms:created>
  <dcterms:modified xsi:type="dcterms:W3CDTF">2019-02-14T14:44:00Z</dcterms:modified>
</cp:coreProperties>
</file>